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5E4" w:rsidRDefault="002F1CE7" w:rsidP="00C455E4">
      <w:pPr>
        <w:pStyle w:val="Title"/>
      </w:pPr>
      <w:r>
        <w:t>R</w:t>
      </w:r>
      <w:r w:rsidR="003E0761">
        <w:t>evised</w:t>
      </w:r>
      <w:r w:rsidR="000B6DC2">
        <w:t xml:space="preserve"> </w:t>
      </w:r>
      <w:r w:rsidR="00C455E4" w:rsidRPr="00C455E4">
        <w:t xml:space="preserve">Disposition For Workpapers Covering Exterior </w:t>
      </w:r>
      <w:r w:rsidR="00C30FAF">
        <w:t xml:space="preserve">LED </w:t>
      </w:r>
      <w:r w:rsidR="00C455E4" w:rsidRPr="00C455E4">
        <w:t>Lighting Fixtures</w:t>
      </w:r>
    </w:p>
    <w:p w:rsidR="00CD0872" w:rsidRPr="00257E69" w:rsidRDefault="00706AF0" w:rsidP="00EE2B37">
      <w:pPr>
        <w:pStyle w:val="Subtitle"/>
      </w:pPr>
      <w:r>
        <w:t xml:space="preserve">California Public Utilities </w:t>
      </w:r>
      <w:r w:rsidRPr="00EE2B37">
        <w:t>Commission</w:t>
      </w:r>
      <w:r>
        <w:t>, Energy Division</w:t>
      </w:r>
    </w:p>
    <w:p w:rsidR="00235ACC" w:rsidRPr="000B6DC2" w:rsidRDefault="000B6DC2" w:rsidP="000B6DC2">
      <w:pPr>
        <w:pStyle w:val="DispositionDate"/>
        <w:rPr>
          <w:b/>
        </w:rPr>
      </w:pPr>
      <w:r>
        <w:t>June 2, 2017</w:t>
      </w:r>
    </w:p>
    <w:p w:rsidR="002A67E5" w:rsidRPr="00201F35" w:rsidRDefault="009F0F67" w:rsidP="00201F35">
      <w:pPr>
        <w:pStyle w:val="Body1"/>
        <w:rPr>
          <w:b/>
        </w:rPr>
      </w:pPr>
      <w:r w:rsidRPr="00201F35">
        <w:rPr>
          <w:b/>
        </w:rPr>
        <w:t>Summary</w:t>
      </w:r>
    </w:p>
    <w:p w:rsidR="00B4573E" w:rsidRDefault="009F0F67" w:rsidP="00235ACC">
      <w:pPr>
        <w:pStyle w:val="Body1"/>
      </w:pPr>
      <w:r>
        <w:t>Commission staff issued a Phase 1 disposition covering exterior LED lighting on March 1, 2017</w:t>
      </w:r>
      <w:r w:rsidR="00B4573E">
        <w:rPr>
          <w:rStyle w:val="FootnoteReference"/>
        </w:rPr>
        <w:footnoteReference w:id="1"/>
      </w:r>
      <w:r>
        <w:t>.</w:t>
      </w:r>
      <w:r w:rsidR="00B4573E">
        <w:t xml:space="preserve"> Subsequently, Commission staff issued a draft document intended to clarify direction to the PAs to develop a standard practice baseline for Normal Replacement (NR) and Replace-on-Burnout (ROB) measures</w:t>
      </w:r>
      <w:r w:rsidR="00B4573E">
        <w:rPr>
          <w:rStyle w:val="FootnoteReference"/>
        </w:rPr>
        <w:footnoteReference w:id="2"/>
      </w:r>
      <w:r w:rsidR="00B4573E">
        <w:t>.</w:t>
      </w:r>
      <w:r w:rsidR="00201F35">
        <w:t xml:space="preserve"> </w:t>
      </w:r>
      <w:r w:rsidR="00B4573E">
        <w:t>Commission staff has chosen to delay direction for development of a standard practice baseline and waives any further review of the baselines and measure definitions included in the submitted workpapers. Commission staff will be issuing formal direction for baseline development</w:t>
      </w:r>
      <w:r w:rsidR="00201F35">
        <w:t xml:space="preserve"> in time</w:t>
      </w:r>
      <w:r w:rsidR="00B4573E">
        <w:t xml:space="preserve"> for incorporation </w:t>
      </w:r>
      <w:r w:rsidR="00201F35">
        <w:t>into workpapers for the 2018 program year.</w:t>
      </w:r>
    </w:p>
    <w:p w:rsidR="00201F35" w:rsidRDefault="00201F35" w:rsidP="00235ACC">
      <w:pPr>
        <w:pStyle w:val="Body1"/>
      </w:pPr>
      <w:r>
        <w:t>The Phase 1 disposition also included direction for revision of savings calculations to use consistent methods across all workpapers. This direction is still applicable. Commission staff directs the PAs to revise and resubmit all workpa</w:t>
      </w:r>
      <w:r>
        <w:lastRenderedPageBreak/>
        <w:t xml:space="preserve">pers with an effective date of January 1, 2017. Direction on savings calculations included in the Phase </w:t>
      </w:r>
      <w:r w:rsidR="000B6DC2">
        <w:t>1 disposition is included below. This direction covers workpapers submitted by SCE, however, all PAs are required to follow this direction when developing their own workpapers for similar measures.</w:t>
      </w:r>
    </w:p>
    <w:p w:rsidR="00201F35" w:rsidRDefault="00201F35" w:rsidP="00201F35">
      <w:pPr>
        <w:pStyle w:val="Heading1"/>
      </w:pPr>
      <w:r>
        <w:t>Use Ex Ante Approved Annual Hours of Use (SCE17LG114 and SCE17LG120)</w:t>
      </w:r>
    </w:p>
    <w:p w:rsidR="00201F35" w:rsidRDefault="00201F35" w:rsidP="00201F35">
      <w:pPr>
        <w:pStyle w:val="Body1"/>
      </w:pPr>
      <w:r>
        <w:t>Savings are calculated using a basis of 4,380 operating hours per year. Revise all calculations to start with a basis of 4,100 operating hours which is the ex ante approved value. The value of 4,380 was part of an interim approval of a single third party workpaper submitted by PG&amp;E for the 2013-2014 program cycle. CPUC staff waived review of this workpaper, granting it interim approval. The operating hours of 4,380 were added to the ex ante database so that EULs for the interim approved measures could be properly documented in the database. However, CPUC staff never intended for this value to be used in other workpapers.</w:t>
      </w:r>
    </w:p>
    <w:p w:rsidR="00201F35" w:rsidRDefault="00201F35" w:rsidP="00201F35">
      <w:pPr>
        <w:pStyle w:val="Heading1"/>
      </w:pPr>
      <w:r>
        <w:t>Use Consistent Hours of Use Reductions for Both Workpapers</w:t>
      </w:r>
    </w:p>
    <w:p w:rsidR="00201F35" w:rsidRDefault="00201F35" w:rsidP="00201F35">
      <w:pPr>
        <w:pStyle w:val="Body1"/>
      </w:pPr>
      <w:r>
        <w:t xml:space="preserve">SCE17LG114 covers lighting fixtures that are not required by Title 24 to include motion sensors. Therefore a large portion of the savings results from reduced hours of use in addition to the lower fixture power. SCE17LG120 covers lighting fixtures that are required by Title 24 to include motions sensors. In this case the only savings results from the reduced fixture power and larger hours of use result in more savings. CPUC staff directs SCE to use only one method for calculating operating hours for fixtures equipped with motions sensors and </w:t>
      </w:r>
      <w:r>
        <w:lastRenderedPageBreak/>
        <w:t>to apply that method in both workpapers. Revise impacts for both workpapers to incorporate 4,100 annual basis operating hours as well as a single, uniform method to account for reduced operating hours due to motion sensors.</w:t>
      </w:r>
    </w:p>
    <w:p w:rsidR="00201F35" w:rsidRDefault="00201F35" w:rsidP="00201F35">
      <w:pPr>
        <w:pStyle w:val="Body1"/>
        <w:keepNext/>
        <w:spacing w:after="0"/>
      </w:pPr>
      <w:r>
        <w:t>SCE17LG114:</w:t>
      </w:r>
    </w:p>
    <w:p w:rsidR="00201F35" w:rsidRDefault="00201F35" w:rsidP="00201F35">
      <w:pPr>
        <w:pStyle w:val="Body1"/>
        <w:keepNext/>
        <w:spacing w:after="0"/>
      </w:pPr>
      <w:r>
        <w:t>Basis operating hours: 4,380</w:t>
      </w:r>
    </w:p>
    <w:p w:rsidR="00201F35" w:rsidRDefault="00201F35" w:rsidP="00201F35">
      <w:pPr>
        <w:pStyle w:val="Body1"/>
        <w:keepNext/>
        <w:spacing w:after="0"/>
      </w:pPr>
      <w:r>
        <w:t>Operating hours with controls: 4,380/2 + 4,380/2 * 0.35 = 2.956.5</w:t>
      </w:r>
    </w:p>
    <w:p w:rsidR="00201F35" w:rsidRDefault="00201F35" w:rsidP="00201F35">
      <w:pPr>
        <w:pStyle w:val="Body1"/>
      </w:pPr>
      <w:r>
        <w:t>Using correct basis operating hours per 3.2 above: 4,100/2 + 4,100/2 * 0.35 = 2,767.5</w:t>
      </w:r>
    </w:p>
    <w:p w:rsidR="00201F35" w:rsidRDefault="00201F35" w:rsidP="00201F35">
      <w:pPr>
        <w:pStyle w:val="Body1"/>
        <w:spacing w:after="0"/>
      </w:pPr>
      <w:r>
        <w:t>SCE17LG120:</w:t>
      </w:r>
    </w:p>
    <w:p w:rsidR="00201F35" w:rsidRDefault="00201F35" w:rsidP="00201F35">
      <w:pPr>
        <w:pStyle w:val="Body1"/>
        <w:spacing w:after="0"/>
      </w:pPr>
      <w:r>
        <w:t>Basis operating hours: 4,380</w:t>
      </w:r>
    </w:p>
    <w:p w:rsidR="00201F35" w:rsidRDefault="00201F35" w:rsidP="00201F35">
      <w:pPr>
        <w:pStyle w:val="Body1"/>
        <w:spacing w:after="0"/>
      </w:pPr>
      <w:r>
        <w:t>Operating hours with controls: 4,380 * 0.85 = 3,723</w:t>
      </w:r>
    </w:p>
    <w:p w:rsidR="00201F35" w:rsidRDefault="00201F35" w:rsidP="00201F35">
      <w:pPr>
        <w:pStyle w:val="Body1"/>
      </w:pPr>
      <w:r>
        <w:t>Using correct basis operating hours per 3.2 above:  4,100 * 0.85 = 3,485</w:t>
      </w:r>
    </w:p>
    <w:sectPr w:rsidR="00201F35" w:rsidSect="00F21AF4">
      <w:headerReference w:type="default" r:id="rId8"/>
      <w:footerReference w:type="default" r:id="rId9"/>
      <w:footerReference w:type="first" r:id="rId10"/>
      <w:pgSz w:w="12240" w:h="15840" w:code="1"/>
      <w:pgMar w:top="16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226" w:rsidRDefault="001E2226" w:rsidP="000E70A1">
      <w:pPr>
        <w:spacing w:after="0" w:line="240" w:lineRule="auto"/>
      </w:pPr>
      <w:r>
        <w:separator/>
      </w:r>
    </w:p>
  </w:endnote>
  <w:endnote w:type="continuationSeparator" w:id="0">
    <w:p w:rsidR="001E2226" w:rsidRDefault="001E2226"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D56" w:rsidRPr="007B4BBF" w:rsidRDefault="00B75D56" w:rsidP="00C0532D">
    <w:pPr>
      <w:pStyle w:val="Footer"/>
      <w:rPr>
        <w:sz w:val="18"/>
        <w:szCs w:val="18"/>
      </w:rPr>
    </w:pPr>
    <w:r w:rsidRPr="007B4BBF">
      <w:rPr>
        <w:sz w:val="18"/>
        <w:szCs w:val="18"/>
      </w:rPr>
      <w:tab/>
    </w:r>
    <w:proofErr w:type="gramStart"/>
    <w:r w:rsidRPr="007B4BBF">
      <w:rPr>
        <w:sz w:val="18"/>
        <w:szCs w:val="18"/>
      </w:rPr>
      <w:t>page</w:t>
    </w:r>
    <w:proofErr w:type="gramEnd"/>
    <w:r w:rsidRPr="007B4BBF">
      <w:rPr>
        <w:sz w:val="18"/>
        <w:szCs w:val="18"/>
      </w:rPr>
      <w:t xml:space="preserv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0437F7">
      <w:rPr>
        <w:noProof/>
        <w:sz w:val="18"/>
        <w:szCs w:val="18"/>
      </w:rPr>
      <w:t>2</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0437F7">
      <w:rPr>
        <w:noProof/>
        <w:sz w:val="18"/>
        <w:szCs w:val="18"/>
      </w:rPr>
      <w:t>2</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D56" w:rsidRDefault="00B75D56">
    <w:pPr>
      <w:pStyle w:val="Footer"/>
    </w:pPr>
    <w:r>
      <w:tab/>
    </w:r>
    <w:proofErr w:type="gramStart"/>
    <w:r>
      <w:t>page</w:t>
    </w:r>
    <w:proofErr w:type="gramEnd"/>
    <w:r>
      <w:t xml:space="preserve"> </w:t>
    </w:r>
    <w:r>
      <w:fldChar w:fldCharType="begin"/>
    </w:r>
    <w:r>
      <w:instrText xml:space="preserve"> PAGE  \* Arabic  \* MERGEFORMAT </w:instrText>
    </w:r>
    <w:r>
      <w:fldChar w:fldCharType="separate"/>
    </w:r>
    <w:r w:rsidR="000437F7">
      <w:rPr>
        <w:noProof/>
      </w:rPr>
      <w:t>1</w:t>
    </w:r>
    <w:r>
      <w:fldChar w:fldCharType="end"/>
    </w:r>
    <w:r>
      <w:t xml:space="preserve"> of </w:t>
    </w:r>
    <w:fldSimple w:instr=" NUMPAGES   \* MERGEFORMAT ">
      <w:r w:rsidR="000437F7">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226" w:rsidRDefault="001E2226" w:rsidP="000E70A1">
      <w:pPr>
        <w:spacing w:after="0" w:line="240" w:lineRule="auto"/>
      </w:pPr>
      <w:r>
        <w:separator/>
      </w:r>
    </w:p>
  </w:footnote>
  <w:footnote w:type="continuationSeparator" w:id="0">
    <w:p w:rsidR="001E2226" w:rsidRDefault="001E2226" w:rsidP="000E70A1">
      <w:pPr>
        <w:spacing w:after="0" w:line="240" w:lineRule="auto"/>
      </w:pPr>
      <w:r>
        <w:continuationSeparator/>
      </w:r>
    </w:p>
  </w:footnote>
  <w:footnote w:id="1">
    <w:p w:rsidR="00B4573E" w:rsidRDefault="00B4573E" w:rsidP="00B4573E">
      <w:pPr>
        <w:pStyle w:val="FootnoteText"/>
      </w:pPr>
      <w:r>
        <w:rPr>
          <w:rStyle w:val="FootnoteReference"/>
        </w:rPr>
        <w:footnoteRef/>
      </w:r>
      <w:r>
        <w:t xml:space="preserve"> “Disposition For Workpapers Covering Exterior LED Lighting Fixtures”, California Public Utilities Commission, Energy Division, March 1, 2017</w:t>
      </w:r>
    </w:p>
  </w:footnote>
  <w:footnote w:id="2">
    <w:p w:rsidR="00B4573E" w:rsidRDefault="00B4573E" w:rsidP="00B4573E">
      <w:pPr>
        <w:pStyle w:val="FootnoteText"/>
      </w:pPr>
      <w:r>
        <w:rPr>
          <w:rStyle w:val="FootnoteReference"/>
        </w:rPr>
        <w:footnoteRef/>
      </w:r>
      <w:r>
        <w:t xml:space="preserve"> “Disposition For Workpapers Covering Exterior LED Lighting Fixtures, Clarifications of Commission Staff Baseline Direction DRAFT”, California Public Utilities Co</w:t>
      </w:r>
      <w:bookmarkStart w:id="0" w:name="_GoBack"/>
      <w:bookmarkEnd w:id="0"/>
      <w:r>
        <w:t>mmission, Energy Division, May 10,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D56" w:rsidRPr="00C455E4" w:rsidRDefault="006626C6" w:rsidP="00F21AF4">
    <w:pPr>
      <w:pStyle w:val="Header"/>
    </w:pPr>
    <w:fldSimple w:instr=" STYLEREF  Title  \* MERGEFORMAT ">
      <w:r w:rsidR="000437F7">
        <w:t>Revised Disposition For Workpapers Covering Exterior LED Lighting Fixtures</w:t>
      </w:r>
    </w:fldSimple>
  </w:p>
  <w:p w:rsidR="00C26165" w:rsidRDefault="001E2226" w:rsidP="00F21AF4">
    <w:pPr>
      <w:pStyle w:val="Header"/>
    </w:pPr>
    <w:fldSimple w:instr=" STYLEREF  Subtitle  \* MERGEFORMAT ">
      <w:r w:rsidR="000437F7">
        <w:t>California Public Utilities Commission, Energy Division</w:t>
      </w:r>
    </w:fldSimple>
  </w:p>
  <w:p w:rsidR="005F0289" w:rsidRDefault="001E2226" w:rsidP="00F21AF4">
    <w:pPr>
      <w:pStyle w:val="Header"/>
    </w:pPr>
    <w:fldSimple w:instr=" STYLEREF  &quot;Disposition Date&quot;  \* MERGEFORMAT ">
      <w:r w:rsidR="000437F7">
        <w:t>June 2, 2017</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15:restartNumberingAfterBreak="0">
    <w:nsid w:val="072A0B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hint="default"/>
        <w:b/>
        <w:i w:val="0"/>
        <w:sz w:val="22"/>
      </w:rPr>
    </w:lvl>
    <w:lvl w:ilvl="1">
      <w:start w:val="1"/>
      <w:numFmt w:val="decimal"/>
      <w:pStyle w:val="Heading2"/>
      <w:suff w:val="space"/>
      <w:lvlText w:val="%1.%2."/>
      <w:lvlJc w:val="left"/>
      <w:pPr>
        <w:ind w:left="216" w:hanging="216"/>
      </w:pPr>
      <w:rPr>
        <w:rFonts w:ascii="Calibri" w:hAnsi="Calibri" w:hint="default"/>
        <w:b/>
        <w:i w:val="0"/>
        <w:sz w:val="22"/>
      </w:rPr>
    </w:lvl>
    <w:lvl w:ilvl="2">
      <w:start w:val="1"/>
      <w:numFmt w:val="decimal"/>
      <w:pStyle w:val="Heading3"/>
      <w:suff w:val="space"/>
      <w:lvlText w:val="%1.%2.%3."/>
      <w:lvlJc w:val="left"/>
      <w:pPr>
        <w:ind w:left="720" w:hanging="360"/>
      </w:pPr>
      <w:rPr>
        <w:rFonts w:ascii="Calibri" w:hAnsi="Calibri" w:hint="default"/>
        <w:sz w:val="22"/>
      </w:rPr>
    </w:lvl>
    <w:lvl w:ilvl="3">
      <w:start w:val="1"/>
      <w:numFmt w:val="decimal"/>
      <w:pStyle w:val="Heading4"/>
      <w:suff w:val="space"/>
      <w:lvlText w:val="%1.%2.%3.%4."/>
      <w:lvlJc w:val="left"/>
      <w:pPr>
        <w:ind w:left="1080" w:hanging="360"/>
      </w:pPr>
      <w:rPr>
        <w:rFonts w:ascii="Calibri" w:hAnsi="Calibri" w:hint="default"/>
        <w:sz w:val="22"/>
      </w:rPr>
    </w:lvl>
    <w:lvl w:ilvl="4">
      <w:start w:val="1"/>
      <w:numFmt w:val="decimal"/>
      <w:pStyle w:val="Heading5"/>
      <w:suff w:val="space"/>
      <w:lvlText w:val="%1.%2.%3.%4.%5."/>
      <w:lvlJc w:val="left"/>
      <w:pPr>
        <w:ind w:left="1440" w:hanging="360"/>
      </w:pPr>
      <w:rPr>
        <w:rFonts w:ascii="Calibri" w:hAnsi="Calibri" w:hint="default"/>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15:restartNumberingAfterBreak="0">
    <w:nsid w:val="18331F91"/>
    <w:multiLevelType w:val="hybridMultilevel"/>
    <w:tmpl w:val="7480D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8" w15:restartNumberingAfterBreak="0">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8D208B0"/>
    <w:multiLevelType w:val="hybridMultilevel"/>
    <w:tmpl w:val="F6ACAB48"/>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3C997D4A"/>
    <w:multiLevelType w:val="multilevel"/>
    <w:tmpl w:val="480422CA"/>
    <w:numStyleLink w:val="Dispositions"/>
  </w:abstractNum>
  <w:abstractNum w:abstractNumId="15" w15:restartNumberingAfterBreak="0">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F100A0E"/>
    <w:multiLevelType w:val="multilevel"/>
    <w:tmpl w:val="480422CA"/>
    <w:numStyleLink w:val="Dispositions"/>
  </w:abstractNum>
  <w:abstractNum w:abstractNumId="24" w15:restartNumberingAfterBreak="0">
    <w:nsid w:val="739A19B6"/>
    <w:multiLevelType w:val="multilevel"/>
    <w:tmpl w:val="480422CA"/>
    <w:numStyleLink w:val="Dispositions"/>
  </w:abstractNum>
  <w:abstractNum w:abstractNumId="25" w15:restartNumberingAfterBreak="0">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15:restartNumberingAfterBreak="0">
    <w:nsid w:val="78DC5A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BB51ABA"/>
    <w:multiLevelType w:val="multilevel"/>
    <w:tmpl w:val="480422CA"/>
    <w:numStyleLink w:val="Dispositions"/>
  </w:abstractNum>
  <w:abstractNum w:abstractNumId="28" w15:restartNumberingAfterBreak="0">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7"/>
  </w:num>
  <w:num w:numId="3">
    <w:abstractNumId w:val="21"/>
  </w:num>
  <w:num w:numId="4">
    <w:abstractNumId w:val="10"/>
  </w:num>
  <w:num w:numId="5">
    <w:abstractNumId w:val="28"/>
  </w:num>
  <w:num w:numId="6">
    <w:abstractNumId w:val="4"/>
  </w:num>
  <w:num w:numId="7">
    <w:abstractNumId w:val="22"/>
  </w:num>
  <w:num w:numId="8">
    <w:abstractNumId w:val="18"/>
  </w:num>
  <w:num w:numId="9">
    <w:abstractNumId w:val="15"/>
  </w:num>
  <w:num w:numId="10">
    <w:abstractNumId w:val="11"/>
  </w:num>
  <w:num w:numId="11">
    <w:abstractNumId w:val="9"/>
  </w:num>
  <w:num w:numId="12">
    <w:abstractNumId w:val="25"/>
  </w:num>
  <w:num w:numId="13">
    <w:abstractNumId w:val="19"/>
  </w:num>
  <w:num w:numId="14">
    <w:abstractNumId w:val="7"/>
  </w:num>
  <w:num w:numId="15">
    <w:abstractNumId w:val="8"/>
  </w:num>
  <w:num w:numId="16">
    <w:abstractNumId w:val="1"/>
  </w:num>
  <w:num w:numId="17">
    <w:abstractNumId w:val="20"/>
  </w:num>
  <w:num w:numId="18">
    <w:abstractNumId w:val="5"/>
  </w:num>
  <w:num w:numId="19">
    <w:abstractNumId w:val="12"/>
  </w:num>
  <w:num w:numId="20">
    <w:abstractNumId w:val="16"/>
  </w:num>
  <w:num w:numId="21">
    <w:abstractNumId w:val="26"/>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27"/>
  </w:num>
  <w:num w:numId="26">
    <w:abstractNumId w:val="23"/>
  </w:num>
  <w:num w:numId="27">
    <w:abstractNumId w:val="14"/>
    <w:lvlOverride w:ilvl="2">
      <w:lvl w:ilvl="2">
        <w:start w:val="1"/>
        <w:numFmt w:val="decimal"/>
        <w:suff w:val="space"/>
        <w:lvlText w:val="%1.%2.%3."/>
        <w:lvlJc w:val="left"/>
        <w:pPr>
          <w:ind w:left="900" w:hanging="360"/>
        </w:pPr>
        <w:rPr>
          <w:rFonts w:ascii="Calibri" w:hAnsi="Calibri" w:hint="default"/>
          <w:sz w:val="22"/>
        </w:rPr>
      </w:lvl>
    </w:lvlOverride>
  </w:num>
  <w:num w:numId="28">
    <w:abstractNumId w:val="24"/>
    <w:lvlOverride w:ilvl="0">
      <w:lvl w:ilvl="0">
        <w:start w:val="1"/>
        <w:numFmt w:val="decimal"/>
        <w:pStyle w:val="Heading1"/>
        <w:suff w:val="space"/>
        <w:lvlText w:val="%1."/>
        <w:lvlJc w:val="left"/>
        <w:pPr>
          <w:ind w:left="360" w:hanging="360"/>
        </w:pPr>
        <w:rPr>
          <w:rFonts w:ascii="Calibri" w:hAnsi="Calibri" w:hint="default"/>
          <w:b/>
          <w:i w:val="0"/>
          <w:sz w:val="22"/>
        </w:rPr>
      </w:lvl>
    </w:lvlOverride>
    <w:lvlOverride w:ilvl="1">
      <w:lvl w:ilvl="1">
        <w:start w:val="1"/>
        <w:numFmt w:val="decimal"/>
        <w:pStyle w:val="Heading2"/>
        <w:suff w:val="space"/>
        <w:lvlText w:val="%1.%2."/>
        <w:lvlJc w:val="left"/>
        <w:pPr>
          <w:ind w:left="216" w:hanging="216"/>
        </w:pPr>
        <w:rPr>
          <w:rFonts w:ascii="Calibri" w:hAnsi="Calibri" w:hint="default"/>
          <w:b/>
          <w:i w:val="0"/>
          <w:sz w:val="22"/>
        </w:rPr>
      </w:lvl>
    </w:lvlOverride>
    <w:lvlOverride w:ilvl="2">
      <w:lvl w:ilvl="2">
        <w:start w:val="1"/>
        <w:numFmt w:val="decimal"/>
        <w:pStyle w:val="Heading3"/>
        <w:suff w:val="space"/>
        <w:lvlText w:val="%1.%2.%3."/>
        <w:lvlJc w:val="left"/>
        <w:pPr>
          <w:ind w:left="720" w:hanging="360"/>
        </w:pPr>
        <w:rPr>
          <w:rFonts w:ascii="Calibri" w:hAnsi="Calibri" w:hint="default"/>
          <w:sz w:val="22"/>
        </w:rPr>
      </w:lvl>
    </w:lvlOverride>
    <w:lvlOverride w:ilvl="3">
      <w:lvl w:ilvl="3">
        <w:start w:val="1"/>
        <w:numFmt w:val="decimal"/>
        <w:pStyle w:val="Heading4"/>
        <w:suff w:val="space"/>
        <w:lvlText w:val="%1.%2.%3.%4."/>
        <w:lvlJc w:val="left"/>
        <w:pPr>
          <w:ind w:left="1080" w:hanging="360"/>
        </w:pPr>
        <w:rPr>
          <w:rFonts w:ascii="Calibri" w:hAnsi="Calibri" w:hint="default"/>
          <w:sz w:val="22"/>
        </w:rPr>
      </w:lvl>
    </w:lvlOverride>
    <w:lvlOverride w:ilvl="4">
      <w:lvl w:ilvl="4">
        <w:start w:val="1"/>
        <w:numFmt w:val="decimal"/>
        <w:pStyle w:val="Heading5"/>
        <w:suff w:val="space"/>
        <w:lvlText w:val="%1.%2.%3.%4.%5."/>
        <w:lvlJc w:val="left"/>
        <w:pPr>
          <w:ind w:left="1440" w:hanging="360"/>
        </w:pPr>
        <w:rPr>
          <w:rFonts w:ascii="Calibri" w:hAnsi="Calibri" w:hint="default"/>
          <w:sz w:val="22"/>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24"/>
    <w:lvlOverride w:ilvl="0">
      <w:lvl w:ilvl="0">
        <w:start w:val="1"/>
        <w:numFmt w:val="decimal"/>
        <w:pStyle w:val="Heading1"/>
        <w:suff w:val="space"/>
        <w:lvlText w:val="%1."/>
        <w:lvlJc w:val="left"/>
        <w:pPr>
          <w:ind w:left="450" w:hanging="360"/>
        </w:pPr>
        <w:rPr>
          <w:rFonts w:ascii="Calibri" w:hAnsi="Calibri" w:hint="default"/>
          <w:b/>
          <w:i w:val="0"/>
          <w:sz w:val="22"/>
        </w:rPr>
      </w:lvl>
    </w:lvlOverride>
    <w:lvlOverride w:ilvl="1">
      <w:lvl w:ilvl="1">
        <w:start w:val="1"/>
        <w:numFmt w:val="decimal"/>
        <w:pStyle w:val="Heading2"/>
        <w:suff w:val="space"/>
        <w:lvlText w:val="%1.%2."/>
        <w:lvlJc w:val="left"/>
        <w:pPr>
          <w:ind w:left="306" w:hanging="216"/>
        </w:pPr>
        <w:rPr>
          <w:rFonts w:ascii="Calibri" w:hAnsi="Calibri" w:hint="default"/>
          <w:b/>
          <w:i w:val="0"/>
          <w:sz w:val="22"/>
        </w:rPr>
      </w:lvl>
    </w:lvlOverride>
    <w:lvlOverride w:ilvl="2">
      <w:lvl w:ilvl="2">
        <w:start w:val="1"/>
        <w:numFmt w:val="decimal"/>
        <w:pStyle w:val="Heading3"/>
        <w:suff w:val="space"/>
        <w:lvlText w:val="%1.%2.%3."/>
        <w:lvlJc w:val="left"/>
        <w:pPr>
          <w:ind w:left="810" w:hanging="360"/>
        </w:pPr>
        <w:rPr>
          <w:rFonts w:ascii="Calibri" w:hAnsi="Calibri" w:hint="default"/>
          <w:sz w:val="22"/>
        </w:rPr>
      </w:lvl>
    </w:lvlOverride>
    <w:lvlOverride w:ilvl="3">
      <w:lvl w:ilvl="3">
        <w:start w:val="1"/>
        <w:numFmt w:val="decimal"/>
        <w:pStyle w:val="Heading4"/>
        <w:suff w:val="space"/>
        <w:lvlText w:val="%1.%2.%3.%4."/>
        <w:lvlJc w:val="left"/>
        <w:pPr>
          <w:ind w:left="1170" w:hanging="360"/>
        </w:pPr>
        <w:rPr>
          <w:rFonts w:ascii="Calibri" w:hAnsi="Calibri" w:hint="default"/>
          <w:sz w:val="22"/>
        </w:rPr>
      </w:lvl>
    </w:lvlOverride>
    <w:lvlOverride w:ilvl="4">
      <w:lvl w:ilvl="4">
        <w:start w:val="1"/>
        <w:numFmt w:val="decimal"/>
        <w:pStyle w:val="Heading5"/>
        <w:suff w:val="space"/>
        <w:lvlText w:val="%1.%2.%3.%4.%5."/>
        <w:lvlJc w:val="left"/>
        <w:pPr>
          <w:ind w:left="1530" w:hanging="360"/>
        </w:pPr>
        <w:rPr>
          <w:rFonts w:ascii="Calibri" w:hAnsi="Calibri" w:hint="default"/>
          <w:sz w:val="22"/>
        </w:rPr>
      </w:lvl>
    </w:lvlOverride>
    <w:lvlOverride w:ilvl="5">
      <w:lvl w:ilvl="5">
        <w:start w:val="1"/>
        <w:numFmt w:val="lowerRoman"/>
        <w:lvlText w:val="(%6)"/>
        <w:lvlJc w:val="left"/>
        <w:pPr>
          <w:ind w:left="2250" w:hanging="360"/>
        </w:pPr>
        <w:rPr>
          <w:rFonts w:hint="default"/>
        </w:rPr>
      </w:lvl>
    </w:lvlOverride>
    <w:lvlOverride w:ilvl="6">
      <w:lvl w:ilvl="6">
        <w:start w:val="1"/>
        <w:numFmt w:val="decimal"/>
        <w:lvlText w:val="%7."/>
        <w:lvlJc w:val="left"/>
        <w:pPr>
          <w:ind w:left="2610" w:hanging="360"/>
        </w:pPr>
        <w:rPr>
          <w:rFonts w:hint="default"/>
        </w:rPr>
      </w:lvl>
    </w:lvlOverride>
    <w:lvlOverride w:ilvl="7">
      <w:lvl w:ilvl="7">
        <w:start w:val="1"/>
        <w:numFmt w:val="lowerLetter"/>
        <w:lvlText w:val="%8."/>
        <w:lvlJc w:val="left"/>
        <w:pPr>
          <w:ind w:left="2970" w:hanging="360"/>
        </w:pPr>
        <w:rPr>
          <w:rFonts w:hint="default"/>
        </w:rPr>
      </w:lvl>
    </w:lvlOverride>
    <w:lvlOverride w:ilvl="8">
      <w:lvl w:ilvl="8">
        <w:start w:val="1"/>
        <w:numFmt w:val="lowerRoman"/>
        <w:lvlText w:val="%9."/>
        <w:lvlJc w:val="left"/>
        <w:pPr>
          <w:ind w:left="3330" w:hanging="360"/>
        </w:pPr>
        <w:rPr>
          <w:rFonts w:hint="default"/>
        </w:rPr>
      </w:lvl>
    </w:lvlOverride>
  </w:num>
  <w:num w:numId="30">
    <w:abstractNumId w:val="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F0"/>
    <w:rsid w:val="00001830"/>
    <w:rsid w:val="00002A25"/>
    <w:rsid w:val="000050BD"/>
    <w:rsid w:val="00012020"/>
    <w:rsid w:val="00014D39"/>
    <w:rsid w:val="00015D9B"/>
    <w:rsid w:val="00015EE3"/>
    <w:rsid w:val="00015F65"/>
    <w:rsid w:val="00016B21"/>
    <w:rsid w:val="00030406"/>
    <w:rsid w:val="00030FB0"/>
    <w:rsid w:val="00034AE8"/>
    <w:rsid w:val="000437F7"/>
    <w:rsid w:val="00051079"/>
    <w:rsid w:val="00053FF3"/>
    <w:rsid w:val="000575E4"/>
    <w:rsid w:val="00057F68"/>
    <w:rsid w:val="000612D4"/>
    <w:rsid w:val="00080E9A"/>
    <w:rsid w:val="00081633"/>
    <w:rsid w:val="00082CA9"/>
    <w:rsid w:val="00090AD3"/>
    <w:rsid w:val="00093AF7"/>
    <w:rsid w:val="00094AD0"/>
    <w:rsid w:val="00095567"/>
    <w:rsid w:val="000A6907"/>
    <w:rsid w:val="000B33BC"/>
    <w:rsid w:val="000B3A74"/>
    <w:rsid w:val="000B56D4"/>
    <w:rsid w:val="000B6C7F"/>
    <w:rsid w:val="000B6DC2"/>
    <w:rsid w:val="000C544D"/>
    <w:rsid w:val="000D04A0"/>
    <w:rsid w:val="000D7703"/>
    <w:rsid w:val="000E70A1"/>
    <w:rsid w:val="000F41A4"/>
    <w:rsid w:val="000F67FC"/>
    <w:rsid w:val="00102ED4"/>
    <w:rsid w:val="00112875"/>
    <w:rsid w:val="00124328"/>
    <w:rsid w:val="00126006"/>
    <w:rsid w:val="0012658A"/>
    <w:rsid w:val="00134CD1"/>
    <w:rsid w:val="0014039F"/>
    <w:rsid w:val="00141A44"/>
    <w:rsid w:val="001435E5"/>
    <w:rsid w:val="001439B6"/>
    <w:rsid w:val="00146BCF"/>
    <w:rsid w:val="00151659"/>
    <w:rsid w:val="00153AA3"/>
    <w:rsid w:val="00153D56"/>
    <w:rsid w:val="00154E04"/>
    <w:rsid w:val="001566B4"/>
    <w:rsid w:val="0016053A"/>
    <w:rsid w:val="001620D5"/>
    <w:rsid w:val="00164F7A"/>
    <w:rsid w:val="00165686"/>
    <w:rsid w:val="00175FFC"/>
    <w:rsid w:val="0018340B"/>
    <w:rsid w:val="00187B12"/>
    <w:rsid w:val="001B1A3A"/>
    <w:rsid w:val="001C01C3"/>
    <w:rsid w:val="001C2764"/>
    <w:rsid w:val="001C5C1C"/>
    <w:rsid w:val="001C680B"/>
    <w:rsid w:val="001D14BF"/>
    <w:rsid w:val="001D7DD7"/>
    <w:rsid w:val="001E2226"/>
    <w:rsid w:val="001E5F48"/>
    <w:rsid w:val="001E7899"/>
    <w:rsid w:val="001F6237"/>
    <w:rsid w:val="002008A9"/>
    <w:rsid w:val="00201F35"/>
    <w:rsid w:val="0020456B"/>
    <w:rsid w:val="002064B2"/>
    <w:rsid w:val="00207ACE"/>
    <w:rsid w:val="00223D23"/>
    <w:rsid w:val="00235ACC"/>
    <w:rsid w:val="002362E9"/>
    <w:rsid w:val="00241C0C"/>
    <w:rsid w:val="00243FA9"/>
    <w:rsid w:val="00245B0F"/>
    <w:rsid w:val="00250B06"/>
    <w:rsid w:val="002545F7"/>
    <w:rsid w:val="00257A30"/>
    <w:rsid w:val="00257E69"/>
    <w:rsid w:val="002649F0"/>
    <w:rsid w:val="00273FB3"/>
    <w:rsid w:val="00283390"/>
    <w:rsid w:val="00287492"/>
    <w:rsid w:val="002A67E5"/>
    <w:rsid w:val="002B1119"/>
    <w:rsid w:val="002B5659"/>
    <w:rsid w:val="002C0125"/>
    <w:rsid w:val="002C0670"/>
    <w:rsid w:val="002C15CC"/>
    <w:rsid w:val="002C7AC6"/>
    <w:rsid w:val="002E2F58"/>
    <w:rsid w:val="002E695E"/>
    <w:rsid w:val="002F1CE7"/>
    <w:rsid w:val="002F205A"/>
    <w:rsid w:val="002F27DB"/>
    <w:rsid w:val="003013ED"/>
    <w:rsid w:val="003021CB"/>
    <w:rsid w:val="00302301"/>
    <w:rsid w:val="00310A10"/>
    <w:rsid w:val="00310BA9"/>
    <w:rsid w:val="00312B44"/>
    <w:rsid w:val="00317353"/>
    <w:rsid w:val="00320623"/>
    <w:rsid w:val="00322A72"/>
    <w:rsid w:val="00350DB3"/>
    <w:rsid w:val="003630CF"/>
    <w:rsid w:val="00376DEE"/>
    <w:rsid w:val="00377271"/>
    <w:rsid w:val="00383D3A"/>
    <w:rsid w:val="0039305A"/>
    <w:rsid w:val="003A50A1"/>
    <w:rsid w:val="003B4AE7"/>
    <w:rsid w:val="003B6493"/>
    <w:rsid w:val="003C17B2"/>
    <w:rsid w:val="003D6049"/>
    <w:rsid w:val="003E0761"/>
    <w:rsid w:val="003F0162"/>
    <w:rsid w:val="003F1245"/>
    <w:rsid w:val="003F5191"/>
    <w:rsid w:val="003F7718"/>
    <w:rsid w:val="0040181E"/>
    <w:rsid w:val="004037AC"/>
    <w:rsid w:val="0040649D"/>
    <w:rsid w:val="004132D9"/>
    <w:rsid w:val="004274BF"/>
    <w:rsid w:val="00431133"/>
    <w:rsid w:val="00432ABB"/>
    <w:rsid w:val="00433E2E"/>
    <w:rsid w:val="00437E0D"/>
    <w:rsid w:val="0044149E"/>
    <w:rsid w:val="00444535"/>
    <w:rsid w:val="00453E23"/>
    <w:rsid w:val="00454309"/>
    <w:rsid w:val="00455836"/>
    <w:rsid w:val="00470289"/>
    <w:rsid w:val="00487678"/>
    <w:rsid w:val="004923B6"/>
    <w:rsid w:val="004A74A0"/>
    <w:rsid w:val="004B1C6A"/>
    <w:rsid w:val="004B52F9"/>
    <w:rsid w:val="004D03B5"/>
    <w:rsid w:val="004D4B7D"/>
    <w:rsid w:val="004E3453"/>
    <w:rsid w:val="004F20F2"/>
    <w:rsid w:val="004F62F9"/>
    <w:rsid w:val="00511CFA"/>
    <w:rsid w:val="00520B63"/>
    <w:rsid w:val="00533E15"/>
    <w:rsid w:val="005358EE"/>
    <w:rsid w:val="00537A7A"/>
    <w:rsid w:val="00550CF1"/>
    <w:rsid w:val="005547E7"/>
    <w:rsid w:val="00562831"/>
    <w:rsid w:val="005712A1"/>
    <w:rsid w:val="0057291C"/>
    <w:rsid w:val="00580CC6"/>
    <w:rsid w:val="005833F6"/>
    <w:rsid w:val="005846F6"/>
    <w:rsid w:val="00584753"/>
    <w:rsid w:val="00590C39"/>
    <w:rsid w:val="00591A82"/>
    <w:rsid w:val="00593872"/>
    <w:rsid w:val="00594E3A"/>
    <w:rsid w:val="005975F4"/>
    <w:rsid w:val="005A0498"/>
    <w:rsid w:val="005A1C4D"/>
    <w:rsid w:val="005B033C"/>
    <w:rsid w:val="005B40DD"/>
    <w:rsid w:val="005D092D"/>
    <w:rsid w:val="005D1215"/>
    <w:rsid w:val="005E2100"/>
    <w:rsid w:val="005E5A55"/>
    <w:rsid w:val="005F0289"/>
    <w:rsid w:val="005F61B9"/>
    <w:rsid w:val="00607F4A"/>
    <w:rsid w:val="006137ED"/>
    <w:rsid w:val="0062209E"/>
    <w:rsid w:val="006300B4"/>
    <w:rsid w:val="00633C5E"/>
    <w:rsid w:val="00633C82"/>
    <w:rsid w:val="0064014A"/>
    <w:rsid w:val="0064069F"/>
    <w:rsid w:val="0065725B"/>
    <w:rsid w:val="00660B27"/>
    <w:rsid w:val="006626C6"/>
    <w:rsid w:val="006677EF"/>
    <w:rsid w:val="00671077"/>
    <w:rsid w:val="00674988"/>
    <w:rsid w:val="0068170E"/>
    <w:rsid w:val="00687D70"/>
    <w:rsid w:val="0069420A"/>
    <w:rsid w:val="006A4ACA"/>
    <w:rsid w:val="006B751F"/>
    <w:rsid w:val="006D15F6"/>
    <w:rsid w:val="006D4FCF"/>
    <w:rsid w:val="006D7BC2"/>
    <w:rsid w:val="006E7CDA"/>
    <w:rsid w:val="00700804"/>
    <w:rsid w:val="00706AF0"/>
    <w:rsid w:val="00706DC3"/>
    <w:rsid w:val="007072C0"/>
    <w:rsid w:val="00710277"/>
    <w:rsid w:val="007121DC"/>
    <w:rsid w:val="00712925"/>
    <w:rsid w:val="00722043"/>
    <w:rsid w:val="0072213E"/>
    <w:rsid w:val="0072405F"/>
    <w:rsid w:val="00726AA5"/>
    <w:rsid w:val="00735549"/>
    <w:rsid w:val="007360E1"/>
    <w:rsid w:val="00736D3E"/>
    <w:rsid w:val="007377AB"/>
    <w:rsid w:val="00740096"/>
    <w:rsid w:val="007420F0"/>
    <w:rsid w:val="0074726D"/>
    <w:rsid w:val="00751AE1"/>
    <w:rsid w:val="00756958"/>
    <w:rsid w:val="00763AC5"/>
    <w:rsid w:val="00763F00"/>
    <w:rsid w:val="007703D9"/>
    <w:rsid w:val="00771712"/>
    <w:rsid w:val="00774848"/>
    <w:rsid w:val="007757D0"/>
    <w:rsid w:val="00775AE6"/>
    <w:rsid w:val="007768F5"/>
    <w:rsid w:val="00777942"/>
    <w:rsid w:val="00781765"/>
    <w:rsid w:val="007A39B0"/>
    <w:rsid w:val="007A3BB2"/>
    <w:rsid w:val="007B4BBF"/>
    <w:rsid w:val="007C0813"/>
    <w:rsid w:val="007C2ACC"/>
    <w:rsid w:val="007C5817"/>
    <w:rsid w:val="007C6215"/>
    <w:rsid w:val="007D4B9B"/>
    <w:rsid w:val="007D4DDD"/>
    <w:rsid w:val="007E0DEA"/>
    <w:rsid w:val="007F0135"/>
    <w:rsid w:val="007F1F9C"/>
    <w:rsid w:val="0080239C"/>
    <w:rsid w:val="00802EC8"/>
    <w:rsid w:val="0081477F"/>
    <w:rsid w:val="00823CF7"/>
    <w:rsid w:val="008262FE"/>
    <w:rsid w:val="008350A5"/>
    <w:rsid w:val="00836DD6"/>
    <w:rsid w:val="00836E27"/>
    <w:rsid w:val="00840E35"/>
    <w:rsid w:val="00845438"/>
    <w:rsid w:val="008504F1"/>
    <w:rsid w:val="008518CF"/>
    <w:rsid w:val="0086193B"/>
    <w:rsid w:val="00862988"/>
    <w:rsid w:val="008774A6"/>
    <w:rsid w:val="00882907"/>
    <w:rsid w:val="0088515F"/>
    <w:rsid w:val="00893225"/>
    <w:rsid w:val="00893C67"/>
    <w:rsid w:val="008A099B"/>
    <w:rsid w:val="008B2D68"/>
    <w:rsid w:val="008B6EA2"/>
    <w:rsid w:val="008C3BD7"/>
    <w:rsid w:val="008C5E99"/>
    <w:rsid w:val="008C711A"/>
    <w:rsid w:val="008C7F61"/>
    <w:rsid w:val="008E551C"/>
    <w:rsid w:val="008E6B1C"/>
    <w:rsid w:val="008F2DF0"/>
    <w:rsid w:val="008F35F6"/>
    <w:rsid w:val="008F3CE2"/>
    <w:rsid w:val="008F6C5B"/>
    <w:rsid w:val="009047DA"/>
    <w:rsid w:val="0090760C"/>
    <w:rsid w:val="00913B3A"/>
    <w:rsid w:val="00916DEE"/>
    <w:rsid w:val="00922A4E"/>
    <w:rsid w:val="00932F64"/>
    <w:rsid w:val="00934E05"/>
    <w:rsid w:val="00946AE9"/>
    <w:rsid w:val="009608F0"/>
    <w:rsid w:val="00971B21"/>
    <w:rsid w:val="00975A87"/>
    <w:rsid w:val="0098085C"/>
    <w:rsid w:val="00993C2C"/>
    <w:rsid w:val="00997A05"/>
    <w:rsid w:val="009A0582"/>
    <w:rsid w:val="009A400D"/>
    <w:rsid w:val="009A76C9"/>
    <w:rsid w:val="009B4E31"/>
    <w:rsid w:val="009C3040"/>
    <w:rsid w:val="009C3051"/>
    <w:rsid w:val="009C58D2"/>
    <w:rsid w:val="009F0F67"/>
    <w:rsid w:val="00A021FB"/>
    <w:rsid w:val="00A03798"/>
    <w:rsid w:val="00A0471B"/>
    <w:rsid w:val="00A11247"/>
    <w:rsid w:val="00A14E41"/>
    <w:rsid w:val="00A15C83"/>
    <w:rsid w:val="00A21E0E"/>
    <w:rsid w:val="00A24712"/>
    <w:rsid w:val="00A32722"/>
    <w:rsid w:val="00A36E8C"/>
    <w:rsid w:val="00A5254E"/>
    <w:rsid w:val="00A56550"/>
    <w:rsid w:val="00A61D93"/>
    <w:rsid w:val="00A64E0C"/>
    <w:rsid w:val="00A71E1C"/>
    <w:rsid w:val="00A7209F"/>
    <w:rsid w:val="00A873F8"/>
    <w:rsid w:val="00AA31E7"/>
    <w:rsid w:val="00AA7059"/>
    <w:rsid w:val="00AB08CD"/>
    <w:rsid w:val="00AB68C5"/>
    <w:rsid w:val="00AC4FB8"/>
    <w:rsid w:val="00AD2469"/>
    <w:rsid w:val="00AE056F"/>
    <w:rsid w:val="00AE25A2"/>
    <w:rsid w:val="00AF2BE8"/>
    <w:rsid w:val="00AF349A"/>
    <w:rsid w:val="00B01B1D"/>
    <w:rsid w:val="00B060E6"/>
    <w:rsid w:val="00B06998"/>
    <w:rsid w:val="00B12167"/>
    <w:rsid w:val="00B14C8C"/>
    <w:rsid w:val="00B26946"/>
    <w:rsid w:val="00B27A91"/>
    <w:rsid w:val="00B30D50"/>
    <w:rsid w:val="00B379D6"/>
    <w:rsid w:val="00B433BF"/>
    <w:rsid w:val="00B4573E"/>
    <w:rsid w:val="00B469C3"/>
    <w:rsid w:val="00B47583"/>
    <w:rsid w:val="00B51572"/>
    <w:rsid w:val="00B600C6"/>
    <w:rsid w:val="00B702D7"/>
    <w:rsid w:val="00B75D56"/>
    <w:rsid w:val="00B80733"/>
    <w:rsid w:val="00B864D0"/>
    <w:rsid w:val="00B927D8"/>
    <w:rsid w:val="00B948EC"/>
    <w:rsid w:val="00B97C9B"/>
    <w:rsid w:val="00BA0C3E"/>
    <w:rsid w:val="00BA26ED"/>
    <w:rsid w:val="00BB303C"/>
    <w:rsid w:val="00BC0A24"/>
    <w:rsid w:val="00BC5F21"/>
    <w:rsid w:val="00BD3DDF"/>
    <w:rsid w:val="00BD7A08"/>
    <w:rsid w:val="00BE16D9"/>
    <w:rsid w:val="00BE2B49"/>
    <w:rsid w:val="00BE3652"/>
    <w:rsid w:val="00BF4533"/>
    <w:rsid w:val="00C0532D"/>
    <w:rsid w:val="00C070E5"/>
    <w:rsid w:val="00C10911"/>
    <w:rsid w:val="00C15238"/>
    <w:rsid w:val="00C163B5"/>
    <w:rsid w:val="00C26165"/>
    <w:rsid w:val="00C30FAF"/>
    <w:rsid w:val="00C372B8"/>
    <w:rsid w:val="00C37430"/>
    <w:rsid w:val="00C411E6"/>
    <w:rsid w:val="00C42DC7"/>
    <w:rsid w:val="00C455E4"/>
    <w:rsid w:val="00C46478"/>
    <w:rsid w:val="00C4783D"/>
    <w:rsid w:val="00C55387"/>
    <w:rsid w:val="00C617DB"/>
    <w:rsid w:val="00C61CBE"/>
    <w:rsid w:val="00C704CD"/>
    <w:rsid w:val="00C812A5"/>
    <w:rsid w:val="00C8311F"/>
    <w:rsid w:val="00C83AF7"/>
    <w:rsid w:val="00C84574"/>
    <w:rsid w:val="00CA138C"/>
    <w:rsid w:val="00CA4BEB"/>
    <w:rsid w:val="00CA652B"/>
    <w:rsid w:val="00CA67D2"/>
    <w:rsid w:val="00CB6450"/>
    <w:rsid w:val="00CC4468"/>
    <w:rsid w:val="00CC7570"/>
    <w:rsid w:val="00CD0872"/>
    <w:rsid w:val="00CD0C07"/>
    <w:rsid w:val="00CD3B54"/>
    <w:rsid w:val="00CD3CB0"/>
    <w:rsid w:val="00CD6AB2"/>
    <w:rsid w:val="00CE171E"/>
    <w:rsid w:val="00CE73BF"/>
    <w:rsid w:val="00D066B4"/>
    <w:rsid w:val="00D1454B"/>
    <w:rsid w:val="00D172B5"/>
    <w:rsid w:val="00D23BEF"/>
    <w:rsid w:val="00D259D6"/>
    <w:rsid w:val="00D54F4C"/>
    <w:rsid w:val="00D655E2"/>
    <w:rsid w:val="00D657AB"/>
    <w:rsid w:val="00D67344"/>
    <w:rsid w:val="00D8241D"/>
    <w:rsid w:val="00D84533"/>
    <w:rsid w:val="00D85716"/>
    <w:rsid w:val="00D90F79"/>
    <w:rsid w:val="00DC095C"/>
    <w:rsid w:val="00DD6BB7"/>
    <w:rsid w:val="00DE193E"/>
    <w:rsid w:val="00E0003E"/>
    <w:rsid w:val="00E06BD4"/>
    <w:rsid w:val="00E06DEF"/>
    <w:rsid w:val="00E12E68"/>
    <w:rsid w:val="00E162A4"/>
    <w:rsid w:val="00E224E2"/>
    <w:rsid w:val="00E27C24"/>
    <w:rsid w:val="00E3047B"/>
    <w:rsid w:val="00E357AA"/>
    <w:rsid w:val="00E47259"/>
    <w:rsid w:val="00E47FFD"/>
    <w:rsid w:val="00E530CC"/>
    <w:rsid w:val="00E534A2"/>
    <w:rsid w:val="00E55481"/>
    <w:rsid w:val="00E56918"/>
    <w:rsid w:val="00E57C4D"/>
    <w:rsid w:val="00E60139"/>
    <w:rsid w:val="00E73793"/>
    <w:rsid w:val="00E7450A"/>
    <w:rsid w:val="00E858B0"/>
    <w:rsid w:val="00E875C4"/>
    <w:rsid w:val="00E95FFB"/>
    <w:rsid w:val="00E96FC2"/>
    <w:rsid w:val="00EB17D2"/>
    <w:rsid w:val="00EB3A89"/>
    <w:rsid w:val="00EB52F9"/>
    <w:rsid w:val="00EC14AB"/>
    <w:rsid w:val="00EC319B"/>
    <w:rsid w:val="00EC7891"/>
    <w:rsid w:val="00ED1EEC"/>
    <w:rsid w:val="00EE1027"/>
    <w:rsid w:val="00EE11D0"/>
    <w:rsid w:val="00EE2B37"/>
    <w:rsid w:val="00EE315E"/>
    <w:rsid w:val="00EE4705"/>
    <w:rsid w:val="00EE74BD"/>
    <w:rsid w:val="00F00C5A"/>
    <w:rsid w:val="00F015A8"/>
    <w:rsid w:val="00F07D30"/>
    <w:rsid w:val="00F201E9"/>
    <w:rsid w:val="00F21AF4"/>
    <w:rsid w:val="00F25727"/>
    <w:rsid w:val="00F27D2E"/>
    <w:rsid w:val="00F42F1D"/>
    <w:rsid w:val="00F45DF2"/>
    <w:rsid w:val="00F47C91"/>
    <w:rsid w:val="00F540E4"/>
    <w:rsid w:val="00F5571C"/>
    <w:rsid w:val="00F80949"/>
    <w:rsid w:val="00F84648"/>
    <w:rsid w:val="00F874C9"/>
    <w:rsid w:val="00F95C2E"/>
    <w:rsid w:val="00FA383D"/>
    <w:rsid w:val="00FB06B7"/>
    <w:rsid w:val="00FB0919"/>
    <w:rsid w:val="00FB54E5"/>
    <w:rsid w:val="00FC178F"/>
    <w:rsid w:val="00FD15A7"/>
    <w:rsid w:val="00FD31B6"/>
    <w:rsid w:val="00FD72DE"/>
    <w:rsid w:val="00FE183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96"/>
  <w15:docId w15:val="{CE681FEF-D083-46E7-857C-6F2B9AFC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B37"/>
    <w:pPr>
      <w:spacing w:after="200" w:line="276" w:lineRule="auto"/>
    </w:pPr>
    <w:rPr>
      <w:rFonts w:cs="Times New Roman"/>
    </w:rPr>
  </w:style>
  <w:style w:type="paragraph" w:styleId="Heading1">
    <w:name w:val="heading 1"/>
    <w:basedOn w:val="Normal"/>
    <w:next w:val="Body1"/>
    <w:link w:val="Heading1Char"/>
    <w:qFormat/>
    <w:locked/>
    <w:rsid w:val="00EE2B37"/>
    <w:pPr>
      <w:keepNext/>
      <w:keepLines/>
      <w:numPr>
        <w:numId w:val="29"/>
      </w:numPr>
      <w:spacing w:before="480" w:after="0"/>
      <w:ind w:left="360"/>
      <w:outlineLvl w:val="0"/>
    </w:pPr>
    <w:rPr>
      <w:rFonts w:eastAsiaTheme="majorEastAsia" w:cstheme="majorBidi"/>
      <w:b/>
      <w:bCs/>
      <w:szCs w:val="28"/>
    </w:rPr>
  </w:style>
  <w:style w:type="paragraph" w:styleId="Heading2">
    <w:name w:val="heading 2"/>
    <w:basedOn w:val="Normal"/>
    <w:next w:val="Body2"/>
    <w:link w:val="Heading2Char"/>
    <w:unhideWhenUsed/>
    <w:qFormat/>
    <w:locked/>
    <w:rsid w:val="00EE2B37"/>
    <w:pPr>
      <w:keepNext/>
      <w:keepLines/>
      <w:numPr>
        <w:ilvl w:val="1"/>
        <w:numId w:val="29"/>
      </w:numPr>
      <w:spacing w:before="200" w:after="0"/>
      <w:ind w:left="216"/>
      <w:outlineLvl w:val="1"/>
    </w:pPr>
    <w:rPr>
      <w:rFonts w:eastAsiaTheme="majorEastAsia" w:cstheme="majorBidi"/>
      <w:b/>
      <w:bCs/>
      <w:szCs w:val="26"/>
    </w:rPr>
  </w:style>
  <w:style w:type="paragraph" w:styleId="Heading3">
    <w:name w:val="heading 3"/>
    <w:basedOn w:val="Normal"/>
    <w:next w:val="Body3"/>
    <w:link w:val="Heading3Char"/>
    <w:unhideWhenUsed/>
    <w:qFormat/>
    <w:locked/>
    <w:rsid w:val="00EE2B37"/>
    <w:pPr>
      <w:keepNext/>
      <w:keepLines/>
      <w:numPr>
        <w:ilvl w:val="2"/>
        <w:numId w:val="29"/>
      </w:numPr>
      <w:spacing w:before="200" w:after="0"/>
      <w:ind w:left="720"/>
      <w:outlineLvl w:val="2"/>
    </w:pPr>
    <w:rPr>
      <w:rFonts w:eastAsiaTheme="majorEastAsia" w:cstheme="majorBidi"/>
      <w:bCs/>
      <w:u w:val="single"/>
    </w:rPr>
  </w:style>
  <w:style w:type="paragraph" w:styleId="Heading4">
    <w:name w:val="heading 4"/>
    <w:basedOn w:val="Normal"/>
    <w:next w:val="Normal"/>
    <w:link w:val="Heading4Char"/>
    <w:unhideWhenUsed/>
    <w:qFormat/>
    <w:locked/>
    <w:rsid w:val="00EE2B37"/>
    <w:pPr>
      <w:keepNext/>
      <w:keepLines/>
      <w:numPr>
        <w:ilvl w:val="3"/>
        <w:numId w:val="29"/>
      </w:numPr>
      <w:spacing w:before="200" w:after="0"/>
      <w:ind w:left="1080"/>
      <w:outlineLvl w:val="3"/>
    </w:pPr>
    <w:rPr>
      <w:rFonts w:eastAsiaTheme="majorEastAsia" w:cstheme="majorBidi"/>
      <w:bCs/>
      <w:iCs/>
    </w:rPr>
  </w:style>
  <w:style w:type="paragraph" w:styleId="Heading5">
    <w:name w:val="heading 5"/>
    <w:basedOn w:val="Normal"/>
    <w:next w:val="Normal"/>
    <w:link w:val="Heading5Char"/>
    <w:unhideWhenUsed/>
    <w:qFormat/>
    <w:locked/>
    <w:rsid w:val="00EE2B37"/>
    <w:pPr>
      <w:keepNext/>
      <w:keepLines/>
      <w:numPr>
        <w:ilvl w:val="4"/>
        <w:numId w:val="29"/>
      </w:numPr>
      <w:spacing w:before="200" w:after="0"/>
      <w:ind w:left="144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2B37"/>
    <w:pPr>
      <w:ind w:left="720"/>
      <w:contextualSpacing/>
    </w:pPr>
  </w:style>
  <w:style w:type="paragraph" w:styleId="Caption">
    <w:name w:val="caption"/>
    <w:basedOn w:val="Normal"/>
    <w:next w:val="Normal"/>
    <w:uiPriority w:val="99"/>
    <w:qFormat/>
    <w:rsid w:val="00AC4FB8"/>
    <w:pPr>
      <w:spacing w:line="240" w:lineRule="auto"/>
      <w:jc w:val="center"/>
    </w:pPr>
    <w:rPr>
      <w:b/>
      <w:bCs/>
      <w:color w:val="4F81BD"/>
      <w:sz w:val="18"/>
      <w:szCs w:val="18"/>
    </w:rPr>
  </w:style>
  <w:style w:type="table" w:styleId="TableGrid">
    <w:name w:val="Table Grid"/>
    <w:basedOn w:val="TableNormal"/>
    <w:uiPriority w:val="59"/>
    <w:rsid w:val="00EE2B37"/>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21AF4"/>
    <w:pPr>
      <w:tabs>
        <w:tab w:val="center" w:pos="4680"/>
        <w:tab w:val="right" w:pos="9360"/>
      </w:tabs>
      <w:spacing w:after="0" w:line="240" w:lineRule="auto"/>
    </w:pPr>
    <w:rPr>
      <w:noProof/>
      <w:sz w:val="18"/>
      <w:szCs w:val="18"/>
    </w:rPr>
  </w:style>
  <w:style w:type="character" w:customStyle="1" w:styleId="HeaderChar">
    <w:name w:val="Header Char"/>
    <w:basedOn w:val="DefaultParagraphFont"/>
    <w:link w:val="Header"/>
    <w:uiPriority w:val="99"/>
    <w:locked/>
    <w:rsid w:val="00F21AF4"/>
    <w:rPr>
      <w:rFonts w:cs="Times New Roman"/>
      <w:noProof/>
      <w:sz w:val="18"/>
      <w:szCs w:val="18"/>
    </w:rPr>
  </w:style>
  <w:style w:type="paragraph" w:styleId="Footer">
    <w:name w:val="footer"/>
    <w:basedOn w:val="Normal"/>
    <w:link w:val="FooterChar"/>
    <w:uiPriority w:val="99"/>
    <w:rsid w:val="00EE2B3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E2B37"/>
    <w:rPr>
      <w:rFonts w:cs="Times New Roman"/>
    </w:rPr>
  </w:style>
  <w:style w:type="paragraph" w:styleId="FootnoteText">
    <w:name w:val="footnote text"/>
    <w:basedOn w:val="Normal"/>
    <w:link w:val="FootnoteTextChar"/>
    <w:uiPriority w:val="99"/>
    <w:semiHidden/>
    <w:rsid w:val="00EE2B37"/>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E2B37"/>
    <w:rPr>
      <w:rFonts w:cs="Times New Roman"/>
      <w:sz w:val="20"/>
      <w:szCs w:val="20"/>
    </w:rPr>
  </w:style>
  <w:style w:type="character" w:styleId="FootnoteReference">
    <w:name w:val="footnote reference"/>
    <w:basedOn w:val="DefaultParagraphFont"/>
    <w:uiPriority w:val="99"/>
    <w:semiHidden/>
    <w:rsid w:val="00EE2B37"/>
    <w:rPr>
      <w:rFonts w:cs="Times New Roman"/>
      <w:vertAlign w:val="superscript"/>
    </w:rPr>
  </w:style>
  <w:style w:type="character" w:styleId="CommentReference">
    <w:name w:val="annotation reference"/>
    <w:basedOn w:val="DefaultParagraphFont"/>
    <w:uiPriority w:val="99"/>
    <w:semiHidden/>
    <w:unhideWhenUsed/>
    <w:rsid w:val="00EE2B37"/>
    <w:rPr>
      <w:rFonts w:cs="Times New Roman"/>
      <w:sz w:val="16"/>
      <w:szCs w:val="16"/>
    </w:rPr>
  </w:style>
  <w:style w:type="paragraph" w:styleId="CommentText">
    <w:name w:val="annotation text"/>
    <w:basedOn w:val="Normal"/>
    <w:link w:val="CommentTextChar"/>
    <w:uiPriority w:val="99"/>
    <w:semiHidden/>
    <w:unhideWhenUsed/>
    <w:rsid w:val="00EE2B3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E2B37"/>
    <w:rPr>
      <w:rFonts w:cs="Times New Roman"/>
      <w:sz w:val="20"/>
      <w:szCs w:val="20"/>
    </w:rPr>
  </w:style>
  <w:style w:type="paragraph" w:styleId="CommentSubject">
    <w:name w:val="annotation subject"/>
    <w:basedOn w:val="CommentText"/>
    <w:next w:val="CommentText"/>
    <w:link w:val="CommentSubjectChar"/>
    <w:uiPriority w:val="99"/>
    <w:semiHidden/>
    <w:unhideWhenUsed/>
    <w:rsid w:val="00EE2B37"/>
    <w:rPr>
      <w:b/>
      <w:bCs/>
    </w:rPr>
  </w:style>
  <w:style w:type="character" w:customStyle="1" w:styleId="CommentSubjectChar">
    <w:name w:val="Comment Subject Char"/>
    <w:basedOn w:val="CommentTextChar"/>
    <w:link w:val="CommentSubject"/>
    <w:uiPriority w:val="99"/>
    <w:semiHidden/>
    <w:locked/>
    <w:rsid w:val="00EE2B37"/>
    <w:rPr>
      <w:rFonts w:cs="Times New Roman"/>
      <w:b/>
      <w:bCs/>
      <w:sz w:val="20"/>
      <w:szCs w:val="20"/>
    </w:rPr>
  </w:style>
  <w:style w:type="paragraph" w:styleId="BalloonText">
    <w:name w:val="Balloon Text"/>
    <w:basedOn w:val="Normal"/>
    <w:link w:val="BalloonTextChar"/>
    <w:uiPriority w:val="99"/>
    <w:semiHidden/>
    <w:unhideWhenUsed/>
    <w:rsid w:val="00EE2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2B37"/>
    <w:rPr>
      <w:rFonts w:ascii="Tahoma" w:hAnsi="Tahoma" w:cs="Tahoma"/>
      <w:sz w:val="16"/>
      <w:szCs w:val="16"/>
    </w:rPr>
  </w:style>
  <w:style w:type="paragraph" w:styleId="EndnoteText">
    <w:name w:val="endnote text"/>
    <w:basedOn w:val="Normal"/>
    <w:link w:val="EndnoteTextChar"/>
    <w:uiPriority w:val="99"/>
    <w:semiHidden/>
    <w:unhideWhenUsed/>
    <w:rsid w:val="00EE2B3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EE2B37"/>
    <w:rPr>
      <w:rFonts w:cs="Times New Roman"/>
      <w:sz w:val="20"/>
      <w:szCs w:val="20"/>
    </w:rPr>
  </w:style>
  <w:style w:type="character" w:styleId="EndnoteReference">
    <w:name w:val="endnote reference"/>
    <w:basedOn w:val="DefaultParagraphFont"/>
    <w:uiPriority w:val="99"/>
    <w:semiHidden/>
    <w:unhideWhenUsed/>
    <w:rsid w:val="00EE2B37"/>
    <w:rPr>
      <w:rFonts w:cs="Times New Roman"/>
      <w:vertAlign w:val="superscript"/>
    </w:rPr>
  </w:style>
  <w:style w:type="numbering" w:customStyle="1" w:styleId="Dispositions">
    <w:name w:val="Dispositions"/>
    <w:uiPriority w:val="99"/>
    <w:rsid w:val="00EE2B37"/>
    <w:pPr>
      <w:numPr>
        <w:numId w:val="23"/>
      </w:numPr>
    </w:pPr>
  </w:style>
  <w:style w:type="paragraph" w:styleId="Title">
    <w:name w:val="Title"/>
    <w:basedOn w:val="Normal"/>
    <w:next w:val="Normal"/>
    <w:link w:val="TitleChar"/>
    <w:qFormat/>
    <w:locked/>
    <w:rsid w:val="00EE2B37"/>
    <w:pPr>
      <w:spacing w:after="0" w:line="240" w:lineRule="auto"/>
    </w:pPr>
    <w:rPr>
      <w:b/>
      <w:caps/>
      <w:sz w:val="24"/>
      <w:szCs w:val="24"/>
    </w:rPr>
  </w:style>
  <w:style w:type="character" w:customStyle="1" w:styleId="Heading1Char">
    <w:name w:val="Heading 1 Char"/>
    <w:basedOn w:val="DefaultParagraphFont"/>
    <w:link w:val="Heading1"/>
    <w:rsid w:val="00EE2B37"/>
    <w:rPr>
      <w:rFonts w:eastAsiaTheme="majorEastAsia" w:cstheme="majorBidi"/>
      <w:b/>
      <w:bCs/>
      <w:szCs w:val="28"/>
    </w:rPr>
  </w:style>
  <w:style w:type="character" w:customStyle="1" w:styleId="Heading2Char">
    <w:name w:val="Heading 2 Char"/>
    <w:basedOn w:val="DefaultParagraphFont"/>
    <w:link w:val="Heading2"/>
    <w:rsid w:val="00EE2B37"/>
    <w:rPr>
      <w:rFonts w:eastAsiaTheme="majorEastAsia" w:cstheme="majorBidi"/>
      <w:b/>
      <w:bCs/>
      <w:szCs w:val="26"/>
    </w:rPr>
  </w:style>
  <w:style w:type="character" w:customStyle="1" w:styleId="Heading3Char">
    <w:name w:val="Heading 3 Char"/>
    <w:basedOn w:val="DefaultParagraphFont"/>
    <w:link w:val="Heading3"/>
    <w:rsid w:val="00EE2B37"/>
    <w:rPr>
      <w:rFonts w:eastAsiaTheme="majorEastAsia" w:cstheme="majorBidi"/>
      <w:bCs/>
      <w:u w:val="single"/>
    </w:rPr>
  </w:style>
  <w:style w:type="character" w:customStyle="1" w:styleId="Heading4Char">
    <w:name w:val="Heading 4 Char"/>
    <w:basedOn w:val="DefaultParagraphFont"/>
    <w:link w:val="Heading4"/>
    <w:rsid w:val="00EE2B37"/>
    <w:rPr>
      <w:rFonts w:eastAsiaTheme="majorEastAsia" w:cstheme="majorBidi"/>
      <w:bCs/>
      <w:iCs/>
    </w:rPr>
  </w:style>
  <w:style w:type="character" w:customStyle="1" w:styleId="Heading5Char">
    <w:name w:val="Heading 5 Char"/>
    <w:basedOn w:val="DefaultParagraphFont"/>
    <w:link w:val="Heading5"/>
    <w:rsid w:val="00EE2B37"/>
    <w:rPr>
      <w:rFonts w:eastAsiaTheme="majorEastAsia" w:cstheme="majorBidi"/>
    </w:rPr>
  </w:style>
  <w:style w:type="character" w:customStyle="1" w:styleId="TitleChar">
    <w:name w:val="Title Char"/>
    <w:basedOn w:val="DefaultParagraphFont"/>
    <w:link w:val="Title"/>
    <w:rsid w:val="00EE2B37"/>
    <w:rPr>
      <w:rFonts w:cs="Times New Roman"/>
      <w:b/>
      <w:caps/>
      <w:sz w:val="24"/>
      <w:szCs w:val="24"/>
    </w:rPr>
  </w:style>
  <w:style w:type="paragraph" w:styleId="Subtitle">
    <w:name w:val="Subtitle"/>
    <w:basedOn w:val="Normal"/>
    <w:next w:val="Normal"/>
    <w:link w:val="SubtitleChar"/>
    <w:qFormat/>
    <w:locked/>
    <w:rsid w:val="00EE2B37"/>
    <w:pPr>
      <w:spacing w:after="0" w:line="240" w:lineRule="auto"/>
    </w:pPr>
    <w:rPr>
      <w:b/>
      <w:sz w:val="24"/>
      <w:szCs w:val="24"/>
    </w:rPr>
  </w:style>
  <w:style w:type="character" w:customStyle="1" w:styleId="SubtitleChar">
    <w:name w:val="Subtitle Char"/>
    <w:basedOn w:val="DefaultParagraphFont"/>
    <w:link w:val="Subtitle"/>
    <w:rsid w:val="00EE2B37"/>
    <w:rPr>
      <w:rFonts w:cs="Times New Roman"/>
      <w:b/>
      <w:sz w:val="24"/>
      <w:szCs w:val="24"/>
    </w:rPr>
  </w:style>
  <w:style w:type="paragraph" w:customStyle="1" w:styleId="DispositionDate">
    <w:name w:val="Disposition Date"/>
    <w:basedOn w:val="Normal"/>
    <w:qFormat/>
    <w:rsid w:val="00EE2B37"/>
    <w:rPr>
      <w:sz w:val="24"/>
      <w:szCs w:val="24"/>
    </w:rPr>
  </w:style>
  <w:style w:type="paragraph" w:styleId="TOC1">
    <w:name w:val="toc 1"/>
    <w:basedOn w:val="Normal"/>
    <w:next w:val="Heading1"/>
    <w:autoRedefine/>
    <w:uiPriority w:val="39"/>
    <w:locked/>
    <w:rsid w:val="00EE2B37"/>
  </w:style>
  <w:style w:type="paragraph" w:styleId="TOC2">
    <w:name w:val="toc 2"/>
    <w:basedOn w:val="TOC1"/>
    <w:next w:val="Normal"/>
    <w:autoRedefine/>
    <w:uiPriority w:val="39"/>
    <w:locked/>
    <w:rsid w:val="00EE2B37"/>
    <w:pPr>
      <w:spacing w:before="100" w:after="100"/>
      <w:ind w:left="216"/>
    </w:pPr>
  </w:style>
  <w:style w:type="paragraph" w:styleId="TOC3">
    <w:name w:val="toc 3"/>
    <w:basedOn w:val="Normal"/>
    <w:next w:val="Normal"/>
    <w:locked/>
    <w:rsid w:val="00EE2B37"/>
    <w:pPr>
      <w:spacing w:before="100" w:after="100"/>
      <w:ind w:left="720"/>
    </w:pPr>
    <w:rPr>
      <w:rFonts w:asciiTheme="minorHAnsi" w:eastAsiaTheme="majorEastAsia" w:hAnsiTheme="minorHAnsi" w:cstheme="majorBidi"/>
      <w:bCs/>
    </w:rPr>
  </w:style>
  <w:style w:type="paragraph" w:customStyle="1" w:styleId="Body1">
    <w:name w:val="Body1"/>
    <w:basedOn w:val="Normal"/>
    <w:qFormat/>
    <w:rsid w:val="00EE2B37"/>
  </w:style>
  <w:style w:type="paragraph" w:customStyle="1" w:styleId="Body2">
    <w:name w:val="Body2"/>
    <w:basedOn w:val="Normal"/>
    <w:qFormat/>
    <w:rsid w:val="00EE2B37"/>
    <w:pPr>
      <w:ind w:left="216"/>
    </w:pPr>
  </w:style>
  <w:style w:type="paragraph" w:customStyle="1" w:styleId="Body3">
    <w:name w:val="Body3"/>
    <w:basedOn w:val="Body2"/>
    <w:qFormat/>
    <w:rsid w:val="00EE2B37"/>
    <w:pPr>
      <w:ind w:left="720"/>
    </w:pPr>
  </w:style>
  <w:style w:type="character" w:styleId="Hyperlink">
    <w:name w:val="Hyperlink"/>
    <w:basedOn w:val="DefaultParagraphFont"/>
    <w:uiPriority w:val="99"/>
    <w:unhideWhenUsed/>
    <w:rsid w:val="00EE2B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99110">
      <w:marLeft w:val="0"/>
      <w:marRight w:val="0"/>
      <w:marTop w:val="0"/>
      <w:marBottom w:val="0"/>
      <w:divBdr>
        <w:top w:val="none" w:sz="0" w:space="0" w:color="auto"/>
        <w:left w:val="none" w:sz="0" w:space="0" w:color="auto"/>
        <w:bottom w:val="none" w:sz="0" w:space="0" w:color="auto"/>
        <w:right w:val="none" w:sz="0" w:space="0" w:color="auto"/>
      </w:divBdr>
    </w:div>
    <w:div w:id="1155799111">
      <w:marLeft w:val="0"/>
      <w:marRight w:val="0"/>
      <w:marTop w:val="0"/>
      <w:marBottom w:val="0"/>
      <w:divBdr>
        <w:top w:val="none" w:sz="0" w:space="0" w:color="auto"/>
        <w:left w:val="none" w:sz="0" w:space="0" w:color="auto"/>
        <w:bottom w:val="none" w:sz="0" w:space="0" w:color="auto"/>
        <w:right w:val="none" w:sz="0" w:space="0" w:color="auto"/>
      </w:divBdr>
    </w:div>
    <w:div w:id="11557991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tion10\Google%20Drive\2017%20Workpaper\Disposi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7ECFB-6973-4E66-AE5D-D3BAD1C3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DispositionTemplate.dotx</Template>
  <TotalTime>1</TotalTime>
  <Pages>2</Pages>
  <Words>481</Words>
  <Characters>2745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CPUC Ex Ante Review Team</dc:creator>
  <cp:lastModifiedBy>Jay Bhakta</cp:lastModifiedBy>
  <cp:revision>2</cp:revision>
  <cp:lastPrinted>2016-02-15T02:50:00Z</cp:lastPrinted>
  <dcterms:created xsi:type="dcterms:W3CDTF">2017-06-02T21:01:00Z</dcterms:created>
  <dcterms:modified xsi:type="dcterms:W3CDTF">2017-06-02T21:01:00Z</dcterms:modified>
</cp:coreProperties>
</file>